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A5" w:rsidRDefault="004050A5" w:rsidP="004050A5">
      <w:pPr>
        <w:spacing w:after="120"/>
        <w:rPr>
          <w:rFonts w:ascii="Times New Roman" w:hAnsi="Times New Roman"/>
          <w:sz w:val="22"/>
        </w:rPr>
      </w:pPr>
      <w:r w:rsidRPr="00864273">
        <w:rPr>
          <w:rFonts w:ascii="Times New Roman" w:hAnsi="Times New Roman"/>
          <w:sz w:val="22"/>
        </w:rPr>
        <w:t xml:space="preserve">N. </w:t>
      </w:r>
      <w:proofErr w:type="spellStart"/>
      <w:r w:rsidRPr="00864273">
        <w:rPr>
          <w:rFonts w:ascii="Times New Roman" w:hAnsi="Times New Roman"/>
          <w:sz w:val="22"/>
        </w:rPr>
        <w:t>Nevitte</w:t>
      </w:r>
      <w:proofErr w:type="spellEnd"/>
      <w:r w:rsidRPr="00864273">
        <w:rPr>
          <w:rFonts w:ascii="Times New Roman" w:hAnsi="Times New Roman"/>
          <w:sz w:val="22"/>
        </w:rPr>
        <w:t xml:space="preserve">, E. </w:t>
      </w:r>
      <w:proofErr w:type="spellStart"/>
      <w:r w:rsidRPr="00864273">
        <w:rPr>
          <w:rFonts w:ascii="Times New Roman" w:hAnsi="Times New Roman"/>
          <w:sz w:val="22"/>
        </w:rPr>
        <w:t>Gidengil</w:t>
      </w:r>
      <w:proofErr w:type="spellEnd"/>
      <w:r w:rsidRPr="00864273">
        <w:rPr>
          <w:rFonts w:ascii="Times New Roman" w:hAnsi="Times New Roman"/>
          <w:sz w:val="22"/>
        </w:rPr>
        <w:t xml:space="preserve">, A. </w:t>
      </w:r>
      <w:proofErr w:type="spellStart"/>
      <w:r w:rsidRPr="00864273">
        <w:rPr>
          <w:rFonts w:ascii="Times New Roman" w:hAnsi="Times New Roman"/>
          <w:sz w:val="22"/>
        </w:rPr>
        <w:t>Blais</w:t>
      </w:r>
      <w:proofErr w:type="spellEnd"/>
      <w:r w:rsidRPr="00864273">
        <w:rPr>
          <w:rFonts w:ascii="Times New Roman" w:hAnsi="Times New Roman"/>
          <w:sz w:val="22"/>
        </w:rPr>
        <w:t xml:space="preserve">, and R. Nadeau, </w:t>
      </w:r>
      <w:r w:rsidRPr="00864273">
        <w:rPr>
          <w:rFonts w:ascii="Times New Roman" w:hAnsi="Times New Roman"/>
          <w:i/>
          <w:sz w:val="22"/>
        </w:rPr>
        <w:t xml:space="preserve">Anatomy of a Liberal Victory: Making Sense of the Vote in the 2000 Canadian Election </w:t>
      </w:r>
      <w:r w:rsidRPr="00864273">
        <w:rPr>
          <w:rFonts w:ascii="Times New Roman" w:hAnsi="Times New Roman"/>
          <w:sz w:val="22"/>
        </w:rPr>
        <w:t>(Peterborough, 2002</w:t>
      </w:r>
      <w:r>
        <w:rPr>
          <w:rFonts w:ascii="Times New Roman" w:hAnsi="Times New Roman"/>
          <w:sz w:val="22"/>
        </w:rPr>
        <w:t>)</w:t>
      </w:r>
    </w:p>
    <w:p w:rsidR="004050A5" w:rsidRDefault="004050A5" w:rsidP="004050A5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4050A5" w:rsidRDefault="004050A5" w:rsidP="004050A5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Authors take a voter choice approach, stating in the introduction that “on </w:t>
      </w:r>
      <w:proofErr w:type="gramStart"/>
      <w:r>
        <w:rPr>
          <w:rFonts w:ascii="Times New Roman" w:hAnsi="Times New Roman"/>
          <w:sz w:val="22"/>
        </w:rPr>
        <w:t>election day</w:t>
      </w:r>
      <w:proofErr w:type="gramEnd"/>
      <w:r>
        <w:rPr>
          <w:rFonts w:ascii="Times New Roman" w:hAnsi="Times New Roman"/>
          <w:sz w:val="22"/>
        </w:rPr>
        <w:t xml:space="preserve">, </w:t>
      </w:r>
      <w:proofErr w:type="spellStart"/>
      <w:r>
        <w:rPr>
          <w:rFonts w:ascii="Times New Roman" w:hAnsi="Times New Roman"/>
          <w:sz w:val="22"/>
        </w:rPr>
        <w:t>Cdns</w:t>
      </w:r>
      <w:proofErr w:type="spellEnd"/>
      <w:r>
        <w:rPr>
          <w:rFonts w:ascii="Times New Roman" w:hAnsi="Times New Roman"/>
          <w:sz w:val="22"/>
        </w:rPr>
        <w:t xml:space="preserve"> do not just decide which party will form the government, they also determine which person will become the Prime Minister”</w:t>
      </w:r>
    </w:p>
    <w:p w:rsidR="004050A5" w:rsidRDefault="004050A5" w:rsidP="004050A5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</w:t>
      </w:r>
    </w:p>
    <w:p w:rsidR="004050A5" w:rsidRPr="004050A5" w:rsidRDefault="004050A5" w:rsidP="004050A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4050A5">
        <w:rPr>
          <w:rFonts w:ascii="Times New Roman" w:hAnsi="Times New Roman"/>
          <w:sz w:val="22"/>
        </w:rPr>
        <w:t>The impact of social cleavages on vote choice:</w:t>
      </w:r>
    </w:p>
    <w:p w:rsidR="004050A5" w:rsidRDefault="004050A5" w:rsidP="004050A5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These factors</w:t>
      </w:r>
      <w:r w:rsidRPr="004050A5">
        <w:rPr>
          <w:rFonts w:ascii="Times New Roman" w:hAnsi="Times New Roman"/>
          <w:sz w:val="22"/>
        </w:rPr>
        <w:t xml:space="preserve"> may well have declined in most advanced industrial states between the 1960s and </w:t>
      </w:r>
      <w:proofErr w:type="gramStart"/>
      <w:r w:rsidRPr="004050A5">
        <w:rPr>
          <w:rFonts w:ascii="Times New Roman" w:hAnsi="Times New Roman"/>
          <w:sz w:val="22"/>
        </w:rPr>
        <w:t>1980s,</w:t>
      </w:r>
      <w:proofErr w:type="gramEnd"/>
      <w:r w:rsidRPr="004050A5">
        <w:rPr>
          <w:rFonts w:ascii="Times New Roman" w:hAnsi="Times New Roman"/>
          <w:sz w:val="22"/>
        </w:rPr>
        <w:t xml:space="preserve"> however, whether this trend has continued along the same trajectory is unclear. What is clear is that </w:t>
      </w:r>
      <w:r w:rsidRPr="004050A5">
        <w:rPr>
          <w:rFonts w:ascii="Times New Roman" w:hAnsi="Times New Roman"/>
          <w:sz w:val="22"/>
          <w:u w:val="single"/>
        </w:rPr>
        <w:t>there is no such pattern in Canada</w:t>
      </w:r>
      <w:r w:rsidRPr="004050A5">
        <w:rPr>
          <w:rFonts w:ascii="Times New Roman" w:hAnsi="Times New Roman"/>
          <w:sz w:val="22"/>
        </w:rPr>
        <w:t>. Region and religion remain as crucial now as they once were</w:t>
      </w:r>
    </w:p>
    <w:p w:rsidR="004050A5" w:rsidRDefault="004050A5" w:rsidP="004050A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impact of values and beliefs on vote choice:</w:t>
      </w:r>
    </w:p>
    <w:p w:rsidR="004050A5" w:rsidRDefault="004050A5" w:rsidP="004050A5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Conventional wisdom is that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elections are based on brokerage politics, in which styles and leaders predominate. The implicit assumption is that battles about ideas matter little to the outcomes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elections and that individual vote decisions are disconnected from values. The findings from this book however, emphatically challenge that conventional wisdom. </w:t>
      </w:r>
      <w:r>
        <w:rPr>
          <w:rFonts w:ascii="Times New Roman" w:hAnsi="Times New Roman"/>
          <w:sz w:val="22"/>
          <w:u w:val="single"/>
        </w:rPr>
        <w:t>Core values and beliefs had a substantial impact on vote choice, and ideas and world-views played a major role in 2000 election</w:t>
      </w:r>
      <w:r w:rsidRPr="004050A5">
        <w:rPr>
          <w:rFonts w:ascii="Times New Roman" w:hAnsi="Times New Roman"/>
          <w:sz w:val="22"/>
        </w:rPr>
        <w:t>.</w:t>
      </w:r>
    </w:p>
    <w:p w:rsidR="004050A5" w:rsidRDefault="004050A5" w:rsidP="004050A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Partisan loyalties on vote choice:</w:t>
      </w:r>
    </w:p>
    <w:p w:rsidR="00A3422C" w:rsidRDefault="004050A5" w:rsidP="004050A5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Conventional wisdom suggests that partisan attachments are weak in Canada and the country is peopled by voters who are “flexible partisans” – voters who are always willing to consider all the options and who will shift from one party to another depending on circumstance. While some voters are undoubtedly “flexible partisans” – it is the authors’ view that there is an important core of “not so flexible” partisans in Canada as elsewhere. </w:t>
      </w:r>
      <w:r w:rsidR="00A3422C">
        <w:rPr>
          <w:rFonts w:ascii="Times New Roman" w:hAnsi="Times New Roman"/>
          <w:sz w:val="22"/>
        </w:rPr>
        <w:t>The proportion in Canada may be smaller than in other countries, but it forms a crucial component of the electorate.</w:t>
      </w:r>
    </w:p>
    <w:p w:rsidR="00A3422C" w:rsidRDefault="00A3422C" w:rsidP="00A3422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Leader evaluations are a crucial element of vote decision in Canada – probably more so than in other nations. </w:t>
      </w:r>
    </w:p>
    <w:p w:rsidR="00A3422C" w:rsidRDefault="00A3422C" w:rsidP="00A3422C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According to the study estimates, about 1/5 voters would have voted differently were it not how they felt about the leaders</w:t>
      </w:r>
    </w:p>
    <w:p w:rsidR="00A3422C" w:rsidRDefault="00A3422C" w:rsidP="00A3422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Economic perceptions were not that decisive in the vote decision </w:t>
      </w:r>
    </w:p>
    <w:p w:rsidR="00A3422C" w:rsidRDefault="00A3422C" w:rsidP="00A3422C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On balance, the evidence does not point to the conclusion that the economy was the main cause of the Liberal victory in 2000</w:t>
      </w:r>
    </w:p>
    <w:p w:rsidR="00A3422C" w:rsidRDefault="00A3422C" w:rsidP="00A3422C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One possibility is that individual economic perceptions matter more when there is an economic downturn </w:t>
      </w:r>
    </w:p>
    <w:p w:rsidR="004050A5" w:rsidRPr="004050A5" w:rsidRDefault="00A3422C" w:rsidP="00A3422C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Analyses indicate that there was little strategic voting in the 2000 election</w:t>
      </w:r>
    </w:p>
    <w:sectPr w:rsidR="004050A5" w:rsidRPr="004050A5" w:rsidSect="004050A5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2AB1"/>
    <w:multiLevelType w:val="hybridMultilevel"/>
    <w:tmpl w:val="C9A42E20"/>
    <w:lvl w:ilvl="0" w:tplc="FB70888C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50A5"/>
    <w:rsid w:val="004050A5"/>
    <w:rsid w:val="00A3422C"/>
    <w:rsid w:val="00C949A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0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5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2012-05-11T23:44:00Z</dcterms:created>
  <dcterms:modified xsi:type="dcterms:W3CDTF">2012-05-12T00:44:00Z</dcterms:modified>
</cp:coreProperties>
</file>